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695EBE">
      <w:pPr>
        <w:pStyle w:val="4"/>
        <w:numPr>
          <w:ilvl w:val="0"/>
          <w:numId w:val="0"/>
        </w:numPr>
        <w:ind w:left="0" w:firstLine="0"/>
        <w:jc w:val="left"/>
        <w:rPr>
          <w:rFonts w:hint="eastAsia" w:ascii="CESI黑体-GB13000" w:hAnsi="CESI黑体-GB13000" w:eastAsia="CESI黑体-GB13000" w:cs="CESI黑体-GB13000"/>
          <w:color w:val="auto"/>
          <w:szCs w:val="28"/>
        </w:rPr>
      </w:pPr>
      <w:bookmarkStart w:id="0" w:name="_Toc27945"/>
      <w:r>
        <w:rPr>
          <w:rFonts w:hint="eastAsia" w:ascii="CESI黑体-GB13000" w:hAnsi="CESI黑体-GB13000" w:eastAsia="CESI黑体-GB13000" w:cs="CESI黑体-GB13000"/>
          <w:color w:val="auto"/>
          <w:szCs w:val="28"/>
          <w:lang w:val="en-US" w:eastAsia="zh-CN"/>
        </w:rPr>
        <w:t>附件1：    研究生教育服务平台补（缓）考</w:t>
      </w:r>
      <w:bookmarkEnd w:id="0"/>
      <w:r>
        <w:rPr>
          <w:rFonts w:hint="eastAsia" w:ascii="CESI黑体-GB13000" w:hAnsi="CESI黑体-GB13000" w:eastAsia="CESI黑体-GB13000" w:cs="CESI黑体-GB13000"/>
          <w:color w:val="auto"/>
          <w:szCs w:val="28"/>
          <w:lang w:val="en-US" w:eastAsia="zh-CN"/>
        </w:rPr>
        <w:t>安排</w:t>
      </w:r>
      <w:bookmarkStart w:id="1" w:name="_GoBack"/>
      <w:bookmarkEnd w:id="1"/>
      <w:r>
        <w:rPr>
          <w:rFonts w:hint="eastAsia" w:ascii="CESI黑体-GB13000" w:hAnsi="CESI黑体-GB13000" w:eastAsia="CESI黑体-GB13000" w:cs="CESI黑体-GB13000"/>
          <w:color w:val="auto"/>
          <w:szCs w:val="28"/>
          <w:lang w:val="en-US" w:eastAsia="zh-CN"/>
        </w:rPr>
        <w:t>操作流程</w:t>
      </w:r>
    </w:p>
    <w:p w14:paraId="73DC1AC1">
      <w:pPr>
        <w:spacing w:line="360" w:lineRule="auto"/>
        <w:rPr>
          <w:rFonts w:hint="eastAsia" w:ascii="宋体" w:hAnsi="宋体"/>
          <w:color w:val="auto"/>
          <w:sz w:val="24"/>
        </w:rPr>
      </w:pPr>
      <w:r>
        <w:rPr>
          <w:rFonts w:hint="eastAsia"/>
          <w:b/>
          <w:color w:val="auto"/>
          <w:sz w:val="24"/>
        </w:rPr>
        <w:t>操作说明：</w:t>
      </w:r>
      <w:r>
        <w:rPr>
          <w:rFonts w:hint="eastAsia"/>
          <w:color w:val="auto"/>
          <w:sz w:val="24"/>
        </w:rPr>
        <w:t>点击左边功能菜单</w:t>
      </w:r>
      <w:r>
        <w:rPr>
          <w:rFonts w:hint="eastAsia" w:ascii="宋体" w:hAnsi="宋体"/>
          <w:color w:val="auto"/>
          <w:sz w:val="24"/>
        </w:rPr>
        <w:t>【</w:t>
      </w:r>
      <w:r>
        <w:rPr>
          <w:rFonts w:hint="eastAsia" w:ascii="宋体" w:hAnsi="宋体"/>
          <w:color w:val="auto"/>
          <w:sz w:val="24"/>
          <w:lang w:val="en-US" w:eastAsia="zh-CN"/>
        </w:rPr>
        <w:t>教务运行</w:t>
      </w:r>
      <w:r>
        <w:rPr>
          <w:rFonts w:hint="eastAsia" w:ascii="宋体" w:hAnsi="宋体"/>
          <w:color w:val="auto"/>
          <w:sz w:val="24"/>
        </w:rPr>
        <w:t>】</w:t>
      </w:r>
      <w:r>
        <w:rPr>
          <w:rFonts w:hint="eastAsia"/>
          <w:color w:val="auto"/>
          <w:sz w:val="24"/>
        </w:rPr>
        <w:t>-&gt;</w:t>
      </w:r>
      <w:r>
        <w:rPr>
          <w:rFonts w:hint="eastAsia" w:ascii="宋体" w:hAnsi="宋体"/>
          <w:color w:val="auto"/>
          <w:sz w:val="24"/>
        </w:rPr>
        <w:t>【</w:t>
      </w:r>
      <w:r>
        <w:rPr>
          <w:rFonts w:hint="eastAsia" w:ascii="宋体" w:hAnsi="宋体"/>
          <w:color w:val="auto"/>
          <w:sz w:val="24"/>
          <w:lang w:val="en-US" w:eastAsia="zh-CN"/>
        </w:rPr>
        <w:t>补（缓）考管理</w:t>
      </w:r>
      <w:r>
        <w:rPr>
          <w:rFonts w:hint="eastAsia" w:ascii="宋体" w:hAnsi="宋体"/>
          <w:color w:val="auto"/>
          <w:sz w:val="24"/>
        </w:rPr>
        <w:t>】</w:t>
      </w:r>
      <w:r>
        <w:rPr>
          <w:rFonts w:hint="eastAsia"/>
          <w:color w:val="auto"/>
          <w:sz w:val="24"/>
        </w:rPr>
        <w:t>-&gt;</w:t>
      </w:r>
      <w:r>
        <w:rPr>
          <w:rFonts w:hint="eastAsia" w:ascii="宋体" w:hAnsi="宋体"/>
          <w:color w:val="auto"/>
          <w:sz w:val="24"/>
        </w:rPr>
        <w:t>【</w:t>
      </w:r>
      <w:r>
        <w:rPr>
          <w:rFonts w:hint="eastAsia" w:ascii="宋体" w:hAnsi="宋体"/>
          <w:color w:val="auto"/>
          <w:sz w:val="24"/>
          <w:lang w:val="en-US" w:eastAsia="zh-CN"/>
        </w:rPr>
        <w:t>补（缓）考安排</w:t>
      </w:r>
      <w:r>
        <w:rPr>
          <w:rFonts w:hint="eastAsia" w:ascii="宋体" w:hAnsi="宋体"/>
          <w:color w:val="auto"/>
          <w:sz w:val="24"/>
        </w:rPr>
        <w:t>】，进入如图所示:</w:t>
      </w:r>
    </w:p>
    <w:p w14:paraId="3F79EDFC">
      <w:pPr>
        <w:rPr>
          <w:sz w:val="24"/>
        </w:rPr>
      </w:pPr>
      <w:r>
        <w:rPr>
          <w:sz w:val="24"/>
        </w:rPr>
        <w:drawing>
          <wp:inline distT="0" distB="0" distL="85725" distR="85725">
            <wp:extent cx="5079365" cy="2614295"/>
            <wp:effectExtent l="0" t="0" r="1" b="1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79393" cy="2614833"/>
                    </a:xfrm>
                    <a:prstGeom prst="rect">
                      <a:avLst/>
                    </a:prstGeom>
                    <a:noFill/>
                    <a:ln cap="flat" cmpd="sng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p w14:paraId="4704F77C">
      <w:pPr>
        <w:numPr>
          <w:ilvl w:val="0"/>
          <w:numId w:val="2"/>
        </w:numPr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点击</w:t>
      </w:r>
      <w:r>
        <w:rPr>
          <w:sz w:val="24"/>
        </w:rPr>
        <w:drawing>
          <wp:inline distT="0" distB="0" distL="85725" distR="85725">
            <wp:extent cx="995680" cy="309880"/>
            <wp:effectExtent l="0" t="0" r="1" b="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95680" cy="310172"/>
                    </a:xfrm>
                    <a:prstGeom prst="rect">
                      <a:avLst/>
                    </a:prstGeom>
                    <a:noFill/>
                    <a:ln cap="flat" cmpd="sng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4"/>
          <w:lang w:eastAsia="zh-CN"/>
        </w:rPr>
        <w:t>，</w:t>
      </w:r>
      <w:r>
        <w:rPr>
          <w:rFonts w:hint="eastAsia"/>
          <w:sz w:val="24"/>
          <w:lang w:val="en-US" w:eastAsia="zh-CN"/>
        </w:rPr>
        <w:t>可将补（缓）考名单中的学生按照课程进行考试班的初始化。</w:t>
      </w:r>
    </w:p>
    <w:p w14:paraId="1491E4F4">
      <w:pPr>
        <w:numPr>
          <w:ilvl w:val="0"/>
          <w:numId w:val="2"/>
        </w:numPr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点击</w:t>
      </w:r>
      <w:r>
        <w:rPr>
          <w:sz w:val="24"/>
        </w:rPr>
        <w:drawing>
          <wp:inline distT="0" distB="0" distL="85725" distR="85725">
            <wp:extent cx="805180" cy="281305"/>
            <wp:effectExtent l="0" t="0" r="1" b="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05349" cy="281512"/>
                    </a:xfrm>
                    <a:prstGeom prst="rect">
                      <a:avLst/>
                    </a:prstGeom>
                    <a:noFill/>
                    <a:ln cap="flat" cmpd="sng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4"/>
          <w:lang w:eastAsia="zh-CN"/>
        </w:rPr>
        <w:t>，</w:t>
      </w:r>
      <w:r>
        <w:rPr>
          <w:rFonts w:hint="eastAsia"/>
          <w:sz w:val="24"/>
          <w:lang w:val="en-US" w:eastAsia="zh-CN"/>
        </w:rPr>
        <w:t>可将多个考试班合并成一个考试班。</w:t>
      </w:r>
    </w:p>
    <w:p w14:paraId="4AEDF60F">
      <w:pPr>
        <w:numPr>
          <w:ilvl w:val="0"/>
          <w:numId w:val="2"/>
        </w:numPr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点击</w:t>
      </w:r>
      <w:r>
        <w:rPr>
          <w:sz w:val="24"/>
        </w:rPr>
        <w:drawing>
          <wp:inline distT="0" distB="0" distL="85725" distR="85725">
            <wp:extent cx="1090930" cy="290830"/>
            <wp:effectExtent l="0" t="0" r="1" b="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90930" cy="291065"/>
                    </a:xfrm>
                    <a:prstGeom prst="rect">
                      <a:avLst/>
                    </a:prstGeom>
                    <a:noFill/>
                    <a:ln cap="flat" cmpd="sng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4"/>
          <w:lang w:eastAsia="zh-CN"/>
        </w:rPr>
        <w:t>，</w:t>
      </w:r>
      <w:r>
        <w:rPr>
          <w:rFonts w:hint="eastAsia"/>
          <w:sz w:val="24"/>
          <w:lang w:val="en-US" w:eastAsia="zh-CN"/>
        </w:rPr>
        <w:t>将已经合并的考试班拆分。</w:t>
      </w:r>
    </w:p>
    <w:p w14:paraId="5969923D">
      <w:pPr>
        <w:numPr>
          <w:ilvl w:val="0"/>
          <w:numId w:val="2"/>
        </w:numPr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点击</w:t>
      </w:r>
      <w:r>
        <w:rPr>
          <w:sz w:val="24"/>
        </w:rPr>
        <w:drawing>
          <wp:inline distT="0" distB="0" distL="85725" distR="85725">
            <wp:extent cx="786130" cy="281305"/>
            <wp:effectExtent l="0" t="0" r="0" b="1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86280" cy="281512"/>
                    </a:xfrm>
                    <a:prstGeom prst="rect">
                      <a:avLst/>
                    </a:prstGeom>
                    <a:noFill/>
                    <a:ln cap="flat" cmpd="sng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4"/>
          <w:lang w:eastAsia="zh-CN"/>
        </w:rPr>
        <w:t>，</w:t>
      </w:r>
      <w:r>
        <w:rPr>
          <w:rFonts w:hint="eastAsia"/>
          <w:sz w:val="24"/>
          <w:lang w:val="en-US" w:eastAsia="zh-CN"/>
        </w:rPr>
        <w:t>将安排完成的考试班信息进行发布。</w:t>
      </w:r>
    </w:p>
    <w:p w14:paraId="724DAD41">
      <w:pPr>
        <w:numPr>
          <w:ilvl w:val="0"/>
          <w:numId w:val="2"/>
        </w:numPr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点击</w:t>
      </w:r>
      <w:r>
        <w:rPr>
          <w:sz w:val="24"/>
        </w:rPr>
        <w:drawing>
          <wp:inline distT="0" distB="0" distL="85725" distR="85725">
            <wp:extent cx="995680" cy="271780"/>
            <wp:effectExtent l="0" t="0" r="1" b="1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95680" cy="271958"/>
                    </a:xfrm>
                    <a:prstGeom prst="rect">
                      <a:avLst/>
                    </a:prstGeom>
                    <a:noFill/>
                    <a:ln cap="flat" cmpd="sng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4"/>
          <w:lang w:eastAsia="zh-CN"/>
        </w:rPr>
        <w:t>，</w:t>
      </w:r>
      <w:r>
        <w:rPr>
          <w:rFonts w:hint="eastAsia"/>
          <w:sz w:val="24"/>
          <w:lang w:val="en-US" w:eastAsia="zh-CN"/>
        </w:rPr>
        <w:t>将发布出去的考试班取消。</w:t>
      </w:r>
    </w:p>
    <w:p w14:paraId="091D9028">
      <w:pPr>
        <w:numPr>
          <w:ilvl w:val="0"/>
          <w:numId w:val="2"/>
        </w:numPr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点击</w:t>
      </w:r>
      <w:r>
        <w:rPr>
          <w:sz w:val="24"/>
        </w:rPr>
        <w:drawing>
          <wp:inline distT="0" distB="0" distL="85725" distR="85725">
            <wp:extent cx="824230" cy="281305"/>
            <wp:effectExtent l="0" t="0" r="0" b="0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24418" cy="281512"/>
                    </a:xfrm>
                    <a:prstGeom prst="rect">
                      <a:avLst/>
                    </a:prstGeom>
                    <a:noFill/>
                    <a:ln cap="flat" cmpd="sng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4"/>
          <w:lang w:eastAsia="zh-CN"/>
        </w:rPr>
        <w:t>，</w:t>
      </w:r>
      <w:r>
        <w:rPr>
          <w:rFonts w:hint="eastAsia"/>
          <w:sz w:val="24"/>
          <w:lang w:val="en-US" w:eastAsia="zh-CN"/>
        </w:rPr>
        <w:t>删除不进行安排的考试班。</w:t>
      </w:r>
    </w:p>
    <w:p w14:paraId="16471E94">
      <w:pPr>
        <w:numPr>
          <w:ilvl w:val="0"/>
          <w:numId w:val="2"/>
        </w:numPr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点击</w:t>
      </w:r>
      <w:r>
        <w:rPr>
          <w:sz w:val="24"/>
        </w:rPr>
        <w:drawing>
          <wp:inline distT="0" distB="0" distL="85725" distR="85725">
            <wp:extent cx="2395220" cy="319405"/>
            <wp:effectExtent l="0" t="0" r="0" b="1"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395854" cy="319407"/>
                    </a:xfrm>
                    <a:prstGeom prst="rect">
                      <a:avLst/>
                    </a:prstGeom>
                    <a:noFill/>
                    <a:ln cap="flat" cmpd="sng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4"/>
          <w:lang w:eastAsia="zh-CN"/>
        </w:rPr>
        <w:t>，</w:t>
      </w:r>
      <w:r>
        <w:rPr>
          <w:rFonts w:hint="eastAsia"/>
          <w:sz w:val="24"/>
          <w:lang w:val="en-US" w:eastAsia="zh-CN"/>
        </w:rPr>
        <w:t>将数据推送到成绩录入中，不进行补考安排。</w:t>
      </w:r>
    </w:p>
    <w:p w14:paraId="34D4A6EE">
      <w:pPr>
        <w:rPr>
          <w:rFonts w:hint="eastAsia"/>
        </w:rPr>
      </w:pPr>
    </w:p>
    <w:p w14:paraId="30F3BD82"/>
    <w:sectPr>
      <w:pgSz w:w="11907" w:h="16839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Lucida Sans">
    <w:altName w:val="DejaVu Sans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CESI黑体-GB13000">
    <w:panose1 w:val="02000500000000000000"/>
    <w:charset w:val="86"/>
    <w:family w:val="script"/>
    <w:pitch w:val="default"/>
    <w:sig w:usb0="800002BF" w:usb1="38CF7CF8" w:usb2="00000016" w:usb3="00000000" w:csb0="0004000F" w:csb1="00000000"/>
  </w:font>
  <w:font w:name="Wingdings">
    <w:altName w:val="DejaVu Sans"/>
    <w:panose1 w:val="020B0603030804020204"/>
    <w:charset w:val="00"/>
    <w:family w:val="auto"/>
    <w:pitch w:val="default"/>
    <w:sig w:usb0="00000000" w:usb1="00000000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8BA66F9"/>
    <w:multiLevelType w:val="multilevel"/>
    <w:tmpl w:val="28BA66F9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cs="Times New Roman"/>
      </w:rPr>
    </w:lvl>
    <w:lvl w:ilvl="1" w:tentative="0">
      <w:start w:val="1"/>
      <w:numFmt w:val="decimal"/>
      <w:lvlText w:val="%1.%2"/>
      <w:lvlJc w:val="left"/>
      <w:pPr>
        <w:tabs>
          <w:tab w:val="left" w:pos="2420"/>
        </w:tabs>
        <w:ind w:left="2420" w:hanging="576"/>
      </w:pPr>
    </w:lvl>
    <w:lvl w:ilvl="2" w:tentative="0">
      <w:start w:val="1"/>
      <w:numFmt w:val="decimal"/>
      <w:pStyle w:val="4"/>
      <w:lvlText w:val="%1.%2.%3"/>
      <w:lvlJc w:val="left"/>
      <w:pPr>
        <w:tabs>
          <w:tab w:val="left" w:pos="720"/>
        </w:tabs>
        <w:ind w:left="720" w:hanging="720"/>
      </w:pPr>
      <w:rPr>
        <w:rFonts w:cs="Times New Roman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864"/>
        </w:tabs>
        <w:ind w:left="864" w:hanging="864"/>
      </w:pPr>
      <w:rPr>
        <w:rFonts w:hint="default"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snapToGrid w:val="0"/>
        <w:color w:val="000000"/>
        <w:spacing w:val="0"/>
        <w:kern w:val="0"/>
        <w:position w:val="0"/>
        <w:sz w:val="21"/>
        <w:szCs w:val="21"/>
        <w:u w:val="none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cs="Times New Roman"/>
      </w:rPr>
    </w:lvl>
  </w:abstractNum>
  <w:abstractNum w:abstractNumId="1">
    <w:nsid w:val="3CA422D0"/>
    <w:multiLevelType w:val="multilevel"/>
    <w:tmpl w:val="3CA422D0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footnotePr>
    <w:footnote w:id="0"/>
    <w:footnote w:id="1"/>
  </w:footnotePr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</w:compat>
  <w:rsids>
    <w:rsidRoot w:val="00000000"/>
    <w:rsid w:val="77DBD20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Lucida Sans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100" w:beforeAutospacing="1" w:after="100" w:afterAutospacing="1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0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link w:val="11"/>
    <w:qFormat/>
    <w:uiPriority w:val="0"/>
    <w:pPr>
      <w:keepNext/>
      <w:keepLines/>
      <w:numPr>
        <w:ilvl w:val="2"/>
        <w:numId w:val="1"/>
      </w:numPr>
      <w:tabs>
        <w:tab w:val="left" w:pos="432"/>
      </w:tabs>
      <w:outlineLvl w:val="2"/>
    </w:pPr>
    <w:rPr>
      <w:b/>
      <w:bCs/>
      <w:sz w:val="28"/>
      <w:szCs w:val="32"/>
    </w:rPr>
  </w:style>
  <w:style w:type="paragraph" w:styleId="5">
    <w:name w:val="heading 4"/>
    <w:basedOn w:val="1"/>
    <w:next w:val="1"/>
    <w:link w:val="12"/>
    <w:qFormat/>
    <w:uiPriority w:val="0"/>
    <w:pPr>
      <w:keepNext/>
      <w:widowControl/>
      <w:numPr>
        <w:ilvl w:val="3"/>
        <w:numId w:val="1"/>
      </w:numPr>
      <w:tabs>
        <w:tab w:val="left" w:pos="0"/>
        <w:tab w:val="left" w:pos="1290"/>
      </w:tabs>
      <w:ind w:left="410" w:hanging="410" w:hangingChars="410"/>
      <w:jc w:val="left"/>
      <w:outlineLvl w:val="3"/>
    </w:pPr>
    <w:rPr>
      <w:b/>
      <w:bCs/>
      <w:szCs w:val="28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able of figures"/>
    <w:basedOn w:val="1"/>
    <w:next w:val="1"/>
    <w:qFormat/>
    <w:uiPriority w:val="0"/>
    <w:pPr>
      <w:ind w:left="400" w:leftChars="200" w:hanging="200" w:hangingChars="200"/>
    </w:pPr>
  </w:style>
  <w:style w:type="character" w:customStyle="1" w:styleId="9">
    <w:name w:val="heading 1 Char"/>
    <w:basedOn w:val="8"/>
    <w:link w:val="2"/>
    <w:qFormat/>
    <w:uiPriority w:val="0"/>
    <w:rPr>
      <w:rFonts w:ascii="Calibri" w:hAnsi="Calibri" w:eastAsia="宋体" w:cs="Times New Roman"/>
      <w:b/>
      <w:bCs/>
      <w:kern w:val="44"/>
      <w:sz w:val="44"/>
      <w:szCs w:val="44"/>
      <w:lang w:val="en-US" w:eastAsia="zh-CN" w:bidi="ar-SA"/>
    </w:rPr>
  </w:style>
  <w:style w:type="character" w:customStyle="1" w:styleId="10">
    <w:name w:val="heading 2 Char"/>
    <w:basedOn w:val="8"/>
    <w:link w:val="3"/>
    <w:qFormat/>
    <w:uiPriority w:val="0"/>
    <w:rPr>
      <w:rFonts w:ascii="Times New Roman" w:hAnsi="Calibri" w:eastAsia="黑体" w:cs="Times New Roman"/>
      <w:b/>
      <w:bCs/>
      <w:kern w:val="2"/>
      <w:sz w:val="32"/>
      <w:szCs w:val="32"/>
      <w:lang w:val="en-US" w:eastAsia="zh-CN" w:bidi="ar-SA"/>
    </w:rPr>
  </w:style>
  <w:style w:type="character" w:customStyle="1" w:styleId="11">
    <w:name w:val="heading 3 Char"/>
    <w:basedOn w:val="8"/>
    <w:link w:val="4"/>
    <w:qFormat/>
    <w:uiPriority w:val="0"/>
    <w:rPr>
      <w:rFonts w:ascii="Calibri" w:hAnsi="Calibri" w:eastAsia="宋体" w:cs="Times New Roman"/>
      <w:b/>
      <w:bCs/>
      <w:kern w:val="2"/>
      <w:sz w:val="28"/>
      <w:szCs w:val="32"/>
      <w:lang w:val="en-US" w:eastAsia="zh-CN" w:bidi="ar-SA"/>
    </w:rPr>
  </w:style>
  <w:style w:type="character" w:customStyle="1" w:styleId="12">
    <w:name w:val="heading 4 Char"/>
    <w:basedOn w:val="8"/>
    <w:link w:val="5"/>
    <w:qFormat/>
    <w:uiPriority w:val="0"/>
    <w:rPr>
      <w:rFonts w:ascii="Calibri" w:hAnsi="Calibri" w:eastAsia="宋体" w:cs="Times New Roman"/>
      <w:b/>
      <w:bCs/>
      <w:kern w:val="2"/>
      <w:sz w:val="21"/>
      <w:szCs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numbering" Target="numbering.xml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1"/>
        </a:gradFill>
      </a:fillStyleLst>
      <a:lnStyleLst>
        <a:ln w="6350" cap="flat" cmpd="sng">
          <a:solidFill>
            <a:schemeClr val="phClr"/>
          </a:solidFill>
          <a:prstDash val="solid"/>
          <a:miter/>
        </a:ln>
        <a:ln w="12700" cap="flat" cmpd="sng">
          <a:solidFill>
            <a:schemeClr val="phClr"/>
          </a:solidFill>
          <a:prstDash val="solid"/>
          <a:miter/>
        </a:ln>
        <a:ln w="19050" cap="flat" cmpd="sng">
          <a:solidFill>
            <a:schemeClr val="phClr"/>
          </a:solidFill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rotWithShape="0">
              <a:srgbClr val="000000">
                <a:alpha val="62745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1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 xmlns="http://www.yozosoft.com.cn/officeDocument/2016/customData">
    <docPr xmlns="http://www.yozosoft.com.cn/officeDocument/2016/customData" revisions="3 0 5 0 0 0 1 0 0 0 26645 1 1 1 1 1"/>
    <sectPr xmlns="http://www.yozosoft.com.cn/officeDocument/2016/customData"/>
  </customProps>
</customData>
</file>

<file path=customXml/itemProps1.xml><?xml version="1.0" encoding="utf-8"?>
<ds:datastoreItem xmlns:ds="http://schemas.openxmlformats.org/officeDocument/2006/customXml" ds:itemID="{FCDABD0D-D9BD-4F8C-8D7C-98C9270523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</Pages>
  <Words>0</Words>
  <Characters>174</Characters>
  <Lines>0</Lines>
  <Paragraphs>12</Paragraphs>
  <TotalTime>2</TotalTime>
  <ScaleCrop>false</ScaleCrop>
  <LinksUpToDate>false</LinksUpToDate>
  <CharactersWithSpaces>233</CharactersWithSpaces>
  <Application>WPS Office_12.1.2.22550_F1E327BC-269C-435d-A152-05C5408002CA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2026-01-04T09:15:00Z</dcterms:created>
  <dc:creator>suibe</dc:creator>
  <cp:lastModifiedBy>郭峰</cp:lastModifiedBy>
  <dcterms:modified xsi:type="dcterms:W3CDTF">2026-01-12T10:04:20Z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2052-12.1.2.22550</vt:lpwstr>
  </property>
  <property fmtid="{D5CDD505-2E9C-101B-9397-08002B2CF9AE}" pid="3" name="ICV">
    <vt:lpwstr>C675B3F45156E1F8A456646964514977_42</vt:lpwstr>
  </property>
</Properties>
</file>